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F2E" w:rsidRDefault="00E94B06">
      <w:pPr>
        <w:pStyle w:val="Heading1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4166235</wp:posOffset>
            </wp:positionH>
            <wp:positionV relativeFrom="paragraph">
              <wp:posOffset>116840</wp:posOffset>
            </wp:positionV>
            <wp:extent cx="1728470" cy="1308735"/>
            <wp:effectExtent l="19050" t="0" r="5080" b="0"/>
            <wp:wrapTight wrapText="bothSides">
              <wp:wrapPolygon edited="0">
                <wp:start x="-238" y="0"/>
                <wp:lineTo x="-238" y="21380"/>
                <wp:lineTo x="21663" y="21380"/>
                <wp:lineTo x="21663" y="0"/>
                <wp:lineTo x="-238" y="0"/>
              </wp:wrapPolygon>
            </wp:wrapTight>
            <wp:docPr id="2" name="Picture 2" descr="PCCLDlogo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CCLDlogo0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70" cy="1308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3F2E">
        <w:t>MEMO</w:t>
      </w:r>
    </w:p>
    <w:p w:rsidR="009E3F2E" w:rsidRDefault="009E3F2E"/>
    <w:p w:rsidR="009E3F2E" w:rsidRDefault="009E3F2E">
      <w:r>
        <w:t xml:space="preserve">Date:  </w:t>
      </w:r>
      <w:r w:rsidR="00655E1D">
        <w:t>11/12/14</w:t>
      </w:r>
    </w:p>
    <w:p w:rsidR="009E3F2E" w:rsidRDefault="009E3F2E"/>
    <w:p w:rsidR="009E3F2E" w:rsidRDefault="009E3F2E">
      <w:r>
        <w:t xml:space="preserve">To:   </w:t>
      </w:r>
      <w:r>
        <w:tab/>
      </w:r>
      <w:r w:rsidR="003C55A9">
        <w:t xml:space="preserve">Library </w:t>
      </w:r>
      <w:r w:rsidR="00672C10">
        <w:t>Supervisors</w:t>
      </w:r>
      <w:r w:rsidR="00237C97">
        <w:tab/>
      </w:r>
      <w:r w:rsidR="00237C97">
        <w:tab/>
      </w:r>
      <w:r w:rsidR="00237C97">
        <w:tab/>
      </w:r>
      <w:r w:rsidR="00237C97">
        <w:tab/>
      </w:r>
      <w:r w:rsidR="00237C97">
        <w:tab/>
      </w:r>
      <w:r w:rsidR="00237C97">
        <w:tab/>
      </w:r>
    </w:p>
    <w:p w:rsidR="009E3F2E" w:rsidRDefault="00366A61">
      <w:r>
        <w:t xml:space="preserve">From: </w:t>
      </w:r>
      <w:r w:rsidR="003A43EA">
        <w:t xml:space="preserve"> </w:t>
      </w:r>
      <w:r w:rsidR="00015298">
        <w:t>Chris Brogan</w:t>
      </w:r>
      <w:r w:rsidR="007F05A5">
        <w:t>, CFO</w:t>
      </w:r>
    </w:p>
    <w:p w:rsidR="009E3F2E" w:rsidRDefault="009E3F2E"/>
    <w:p w:rsidR="009E3F2E" w:rsidRDefault="00BB12AB">
      <w:pPr>
        <w:pBdr>
          <w:top w:val="single" w:sz="4" w:space="1" w:color="auto"/>
          <w:bottom w:val="single" w:sz="4" w:space="1" w:color="auto"/>
        </w:pBdr>
      </w:pPr>
      <w:r>
        <w:t xml:space="preserve">Subject:  </w:t>
      </w:r>
      <w:r w:rsidR="003C55A9" w:rsidRPr="009B2B3B">
        <w:rPr>
          <w:b/>
        </w:rPr>
        <w:t xml:space="preserve">YEAR-END </w:t>
      </w:r>
      <w:r w:rsidR="00672C10">
        <w:rPr>
          <w:b/>
        </w:rPr>
        <w:t>FINANCE</w:t>
      </w:r>
      <w:r w:rsidR="003C55A9" w:rsidRPr="009B2B3B">
        <w:rPr>
          <w:b/>
        </w:rPr>
        <w:t xml:space="preserve"> PROCEDURES</w:t>
      </w:r>
      <w:r w:rsidR="00672C10">
        <w:rPr>
          <w:b/>
        </w:rPr>
        <w:t xml:space="preserve"> – </w:t>
      </w:r>
      <w:r w:rsidR="00E94B06">
        <w:rPr>
          <w:b/>
        </w:rPr>
        <w:t>November 1</w:t>
      </w:r>
      <w:r w:rsidR="00655E1D">
        <w:rPr>
          <w:b/>
        </w:rPr>
        <w:t>7</w:t>
      </w:r>
      <w:r w:rsidR="00672C10">
        <w:rPr>
          <w:b/>
        </w:rPr>
        <w:t>, 201</w:t>
      </w:r>
      <w:r w:rsidR="00655E1D">
        <w:rPr>
          <w:b/>
        </w:rPr>
        <w:t>4</w:t>
      </w:r>
      <w:r w:rsidR="00672C10">
        <w:rPr>
          <w:b/>
        </w:rPr>
        <w:t xml:space="preserve"> FINAL</w:t>
      </w:r>
      <w:r w:rsidR="00E94B06">
        <w:rPr>
          <w:b/>
        </w:rPr>
        <w:t xml:space="preserve"> ORDER</w:t>
      </w:r>
      <w:r w:rsidR="00672C10">
        <w:rPr>
          <w:b/>
        </w:rPr>
        <w:t xml:space="preserve"> </w:t>
      </w:r>
      <w:r w:rsidR="00E94B06">
        <w:rPr>
          <w:b/>
        </w:rPr>
        <w:t>DATE FOR EQUIPMENT, FURNITURE, FIXTURES OVER $1,000</w:t>
      </w:r>
      <w:r w:rsidR="003C55A9">
        <w:tab/>
      </w:r>
      <w:r w:rsidR="003C55A9">
        <w:tab/>
      </w:r>
      <w:r w:rsidR="003C55A9">
        <w:tab/>
      </w:r>
    </w:p>
    <w:p w:rsidR="009E3F2E" w:rsidRDefault="009E3F2E"/>
    <w:p w:rsidR="003C55A9" w:rsidRDefault="00672C10" w:rsidP="00BB12AB">
      <w:r>
        <w:t>Greetings!</w:t>
      </w:r>
    </w:p>
    <w:p w:rsidR="00672C10" w:rsidRDefault="00672C10" w:rsidP="00BB12AB"/>
    <w:p w:rsidR="00672C10" w:rsidRDefault="00E94B06" w:rsidP="00291D91">
      <w:pPr>
        <w:spacing w:line="276" w:lineRule="auto"/>
        <w:jc w:val="both"/>
      </w:pPr>
      <w:r>
        <w:t>This is your friendly year-end reminder of deadlines.</w:t>
      </w:r>
    </w:p>
    <w:p w:rsidR="00E94B06" w:rsidRDefault="00E94B06" w:rsidP="00291D91">
      <w:pPr>
        <w:spacing w:line="276" w:lineRule="auto"/>
        <w:jc w:val="both"/>
      </w:pPr>
    </w:p>
    <w:p w:rsidR="00672C10" w:rsidRDefault="00E94B06" w:rsidP="0036615A">
      <w:pPr>
        <w:numPr>
          <w:ilvl w:val="0"/>
          <w:numId w:val="4"/>
        </w:numPr>
        <w:spacing w:line="276" w:lineRule="auto"/>
        <w:jc w:val="both"/>
      </w:pPr>
      <w:r>
        <w:t xml:space="preserve">The last date by which you can order furniture, fixtures and equipment worth over $1,000 is </w:t>
      </w:r>
      <w:r w:rsidRPr="00655E1D">
        <w:rPr>
          <w:b/>
        </w:rPr>
        <w:t>November 1</w:t>
      </w:r>
      <w:r w:rsidR="00655E1D" w:rsidRPr="00655E1D">
        <w:rPr>
          <w:b/>
        </w:rPr>
        <w:t>7</w:t>
      </w:r>
      <w:r w:rsidRPr="00655E1D">
        <w:rPr>
          <w:b/>
        </w:rPr>
        <w:t>, 201</w:t>
      </w:r>
      <w:r w:rsidR="00655E1D" w:rsidRPr="00655E1D">
        <w:rPr>
          <w:b/>
        </w:rPr>
        <w:t>4</w:t>
      </w:r>
      <w:r w:rsidRPr="00655E1D">
        <w:rPr>
          <w:b/>
        </w:rPr>
        <w:t>.</w:t>
      </w:r>
      <w:r>
        <w:t xml:space="preserve">  If you have received grant money from the Friends of the Library, and haven’t yet spent it, please proceed quickly</w:t>
      </w:r>
      <w:r w:rsidR="00655E1D">
        <w:t>!  Darlene is available, as always, to help you get these things ordered.</w:t>
      </w:r>
      <w:r w:rsidR="000B0625">
        <w:t xml:space="preserve">  </w:t>
      </w:r>
      <w:bookmarkStart w:id="0" w:name="_GoBack"/>
      <w:bookmarkEnd w:id="0"/>
    </w:p>
    <w:p w:rsidR="00655E1D" w:rsidRDefault="00655E1D" w:rsidP="00655E1D">
      <w:pPr>
        <w:spacing w:line="276" w:lineRule="auto"/>
        <w:ind w:left="720"/>
        <w:jc w:val="both"/>
      </w:pPr>
    </w:p>
    <w:p w:rsidR="00672C10" w:rsidRDefault="00672C10" w:rsidP="00291D91">
      <w:pPr>
        <w:numPr>
          <w:ilvl w:val="0"/>
          <w:numId w:val="3"/>
        </w:numPr>
        <w:spacing w:line="360" w:lineRule="auto"/>
        <w:jc w:val="both"/>
        <w:rPr>
          <w:b/>
        </w:rPr>
      </w:pPr>
      <w:r>
        <w:t>Books and supplies can be ordered through the end of the year, as long as the invoice clearly state</w:t>
      </w:r>
      <w:r w:rsidR="00855321">
        <w:t>s</w:t>
      </w:r>
      <w:r>
        <w:t xml:space="preserve"> “December 31, 20</w:t>
      </w:r>
      <w:r w:rsidR="006D1B7D">
        <w:t>1</w:t>
      </w:r>
      <w:r w:rsidR="00655E1D">
        <w:t>4</w:t>
      </w:r>
      <w:r w:rsidR="00855321">
        <w:t>” or earlier, and is</w:t>
      </w:r>
      <w:r>
        <w:t xml:space="preserve"> </w:t>
      </w:r>
      <w:r w:rsidR="00855321">
        <w:t>received in Finance by January 1</w:t>
      </w:r>
      <w:r w:rsidR="00655E1D">
        <w:t>6</w:t>
      </w:r>
      <w:r w:rsidR="00855321">
        <w:t>, 201</w:t>
      </w:r>
      <w:r w:rsidR="00655E1D">
        <w:t>5</w:t>
      </w:r>
      <w:r>
        <w:t>, which is our final closing date for 20</w:t>
      </w:r>
      <w:r w:rsidR="00291D91">
        <w:t>1</w:t>
      </w:r>
      <w:r w:rsidR="00655E1D">
        <w:t>4</w:t>
      </w:r>
      <w:r>
        <w:t xml:space="preserve"> business.  </w:t>
      </w:r>
      <w:r>
        <w:rPr>
          <w:b/>
        </w:rPr>
        <w:t>Any invoices dated in 201</w:t>
      </w:r>
      <w:r w:rsidR="00655E1D">
        <w:rPr>
          <w:b/>
        </w:rPr>
        <w:t>5</w:t>
      </w:r>
      <w:r>
        <w:rPr>
          <w:b/>
        </w:rPr>
        <w:t>, or invoices dated 20</w:t>
      </w:r>
      <w:r w:rsidR="00C47F33">
        <w:rPr>
          <w:b/>
        </w:rPr>
        <w:t>1</w:t>
      </w:r>
      <w:r w:rsidR="00655E1D">
        <w:rPr>
          <w:b/>
        </w:rPr>
        <w:t>4</w:t>
      </w:r>
      <w:r>
        <w:rPr>
          <w:b/>
        </w:rPr>
        <w:t xml:space="preserve"> but received after January 1</w:t>
      </w:r>
      <w:r w:rsidR="00655E1D">
        <w:rPr>
          <w:b/>
        </w:rPr>
        <w:t>6</w:t>
      </w:r>
      <w:r>
        <w:rPr>
          <w:b/>
        </w:rPr>
        <w:t>, 201</w:t>
      </w:r>
      <w:r w:rsidR="00655E1D">
        <w:rPr>
          <w:b/>
        </w:rPr>
        <w:t>5</w:t>
      </w:r>
      <w:r>
        <w:rPr>
          <w:b/>
        </w:rPr>
        <w:t>, will be charged to the 201</w:t>
      </w:r>
      <w:r w:rsidR="00655E1D">
        <w:rPr>
          <w:b/>
        </w:rPr>
        <w:t>5</w:t>
      </w:r>
      <w:r>
        <w:rPr>
          <w:b/>
        </w:rPr>
        <w:t xml:space="preserve"> budget year.</w:t>
      </w:r>
    </w:p>
    <w:p w:rsidR="00636299" w:rsidRDefault="00636299" w:rsidP="00636299">
      <w:pPr>
        <w:ind w:left="720"/>
        <w:jc w:val="both"/>
        <w:rPr>
          <w:b/>
        </w:rPr>
      </w:pPr>
    </w:p>
    <w:p w:rsidR="00672C10" w:rsidRDefault="00672C10" w:rsidP="00291D91">
      <w:pPr>
        <w:numPr>
          <w:ilvl w:val="0"/>
          <w:numId w:val="3"/>
        </w:numPr>
        <w:spacing w:line="360" w:lineRule="auto"/>
        <w:jc w:val="both"/>
      </w:pPr>
      <w:r>
        <w:t xml:space="preserve">Travel expense reports for miscellaneous mileage reimbursement should be cut off by </w:t>
      </w:r>
      <w:r w:rsidR="00C47F33">
        <w:rPr>
          <w:b/>
        </w:rPr>
        <w:t>December 31, 201</w:t>
      </w:r>
      <w:r w:rsidR="00655E1D">
        <w:rPr>
          <w:b/>
        </w:rPr>
        <w:t>4</w:t>
      </w:r>
      <w:r>
        <w:t xml:space="preserve"> and sent to Finance.  Please pass this on to your employees – it’s very important that we get all expenses paid in the year in which the expense occurred.  Also, travel expense reports should </w:t>
      </w:r>
      <w:r w:rsidRPr="00C47F33">
        <w:rPr>
          <w:b/>
        </w:rPr>
        <w:t>never</w:t>
      </w:r>
      <w:r>
        <w:t xml:space="preserve"> be held for longer than 90 days.  If the expense is for less than $10, it should be reimbursed out of petty cash, not held to accumulate enough expense to request a check.</w:t>
      </w:r>
    </w:p>
    <w:p w:rsidR="00636299" w:rsidRDefault="00636299" w:rsidP="00636299">
      <w:pPr>
        <w:jc w:val="both"/>
      </w:pPr>
    </w:p>
    <w:p w:rsidR="00F609B5" w:rsidRDefault="00F609B5" w:rsidP="00291D91">
      <w:pPr>
        <w:numPr>
          <w:ilvl w:val="0"/>
          <w:numId w:val="3"/>
        </w:numPr>
        <w:spacing w:line="360" w:lineRule="auto"/>
        <w:jc w:val="both"/>
      </w:pPr>
      <w:r>
        <w:t>If you could search the nooks and crannies for those reimbursement requests and invoices and send them to Finance now, we would sure appreciate it.</w:t>
      </w:r>
    </w:p>
    <w:p w:rsidR="00636299" w:rsidRDefault="00636299" w:rsidP="00636299">
      <w:pPr>
        <w:jc w:val="both"/>
      </w:pPr>
    </w:p>
    <w:p w:rsidR="00672C10" w:rsidRDefault="00F609B5" w:rsidP="00291D91">
      <w:pPr>
        <w:numPr>
          <w:ilvl w:val="0"/>
          <w:numId w:val="3"/>
        </w:numPr>
        <w:spacing w:line="360" w:lineRule="auto"/>
        <w:jc w:val="both"/>
      </w:pPr>
      <w:r>
        <w:t>That’s all for now</w:t>
      </w:r>
      <w:r w:rsidR="00E94B06">
        <w:t>.  Thanks for your help!</w:t>
      </w:r>
    </w:p>
    <w:p w:rsidR="00672C10" w:rsidRPr="00672C10" w:rsidRDefault="00672C10" w:rsidP="00672C10">
      <w:pPr>
        <w:jc w:val="both"/>
      </w:pPr>
    </w:p>
    <w:p w:rsidR="003C55A9" w:rsidRDefault="003C55A9" w:rsidP="00672C10">
      <w:pPr>
        <w:jc w:val="both"/>
      </w:pPr>
      <w:r>
        <w:t>If you have any questions, please don’t hesitate to contact me at #652.</w:t>
      </w:r>
    </w:p>
    <w:sectPr w:rsidR="003C55A9" w:rsidSect="00291D91">
      <w:footerReference w:type="default" r:id="rId8"/>
      <w:pgSz w:w="12240" w:h="15840"/>
      <w:pgMar w:top="720" w:right="1440" w:bottom="27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47F" w:rsidRDefault="0051147F">
      <w:r>
        <w:separator/>
      </w:r>
    </w:p>
  </w:endnote>
  <w:endnote w:type="continuationSeparator" w:id="0">
    <w:p w:rsidR="0051147F" w:rsidRDefault="00511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47F" w:rsidRPr="00E22CF9" w:rsidRDefault="0051147F" w:rsidP="00E22CF9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47F" w:rsidRDefault="0051147F">
      <w:r>
        <w:separator/>
      </w:r>
    </w:p>
  </w:footnote>
  <w:footnote w:type="continuationSeparator" w:id="0">
    <w:p w:rsidR="0051147F" w:rsidRDefault="00511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43544"/>
    <w:multiLevelType w:val="hybridMultilevel"/>
    <w:tmpl w:val="853E40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2F77DF"/>
    <w:multiLevelType w:val="hybridMultilevel"/>
    <w:tmpl w:val="E4BA59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111433"/>
    <w:multiLevelType w:val="hybridMultilevel"/>
    <w:tmpl w:val="5CAA457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4FA35C08"/>
    <w:multiLevelType w:val="hybridMultilevel"/>
    <w:tmpl w:val="F19ED1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C97"/>
    <w:rsid w:val="00015298"/>
    <w:rsid w:val="000B0625"/>
    <w:rsid w:val="00164D87"/>
    <w:rsid w:val="00223729"/>
    <w:rsid w:val="00237C97"/>
    <w:rsid w:val="00255ABC"/>
    <w:rsid w:val="00291D91"/>
    <w:rsid w:val="00366A61"/>
    <w:rsid w:val="003A43EA"/>
    <w:rsid w:val="003C55A9"/>
    <w:rsid w:val="004A45D5"/>
    <w:rsid w:val="0051147F"/>
    <w:rsid w:val="00636299"/>
    <w:rsid w:val="00655E1D"/>
    <w:rsid w:val="00672C10"/>
    <w:rsid w:val="006D1B7D"/>
    <w:rsid w:val="007D3DF1"/>
    <w:rsid w:val="007F05A5"/>
    <w:rsid w:val="008529F3"/>
    <w:rsid w:val="00855321"/>
    <w:rsid w:val="008D2CC4"/>
    <w:rsid w:val="009B2B3B"/>
    <w:rsid w:val="009E3F2E"/>
    <w:rsid w:val="00BB12AB"/>
    <w:rsid w:val="00C47F33"/>
    <w:rsid w:val="00C51A15"/>
    <w:rsid w:val="00CA037E"/>
    <w:rsid w:val="00D839DD"/>
    <w:rsid w:val="00E22CF9"/>
    <w:rsid w:val="00E811F5"/>
    <w:rsid w:val="00E94B06"/>
    <w:rsid w:val="00F6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7965722-1D1D-4A24-A5F6-024DD02A9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1F5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E811F5"/>
    <w:pPr>
      <w:keepNext/>
      <w:outlineLvl w:val="0"/>
    </w:pPr>
    <w:rPr>
      <w:sz w:val="48"/>
      <w:u w:val="single"/>
    </w:rPr>
  </w:style>
  <w:style w:type="paragraph" w:styleId="Heading2">
    <w:name w:val="heading 2"/>
    <w:basedOn w:val="Normal"/>
    <w:next w:val="Normal"/>
    <w:qFormat/>
    <w:rsid w:val="00E811F5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11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11F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2C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C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2C1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FB56C16D</Template>
  <TotalTime>3</TotalTime>
  <Pages>1</Pages>
  <Words>284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Pueblo Library District</Company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Fiscal Operations</dc:creator>
  <cp:keywords/>
  <cp:lastModifiedBy>Chris Brogan</cp:lastModifiedBy>
  <cp:revision>3</cp:revision>
  <cp:lastPrinted>2012-10-23T16:19:00Z</cp:lastPrinted>
  <dcterms:created xsi:type="dcterms:W3CDTF">2014-11-12T18:29:00Z</dcterms:created>
  <dcterms:modified xsi:type="dcterms:W3CDTF">2014-11-12T18:31:00Z</dcterms:modified>
</cp:coreProperties>
</file>