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45" w:rsidRDefault="00EC7F45" w:rsidP="00EC7F45">
      <w:pPr>
        <w:shd w:val="clear" w:color="auto" w:fill="FFFFFF"/>
        <w:spacing w:before="480" w:after="0" w:line="240" w:lineRule="auto"/>
        <w:rPr>
          <w:rFonts w:ascii="Helvetica" w:eastAsia="Times New Roman" w:hAnsi="Helvetica" w:cs="Helvetica"/>
          <w:b/>
          <w:bCs/>
          <w:color w:val="000000"/>
          <w:sz w:val="24"/>
          <w:szCs w:val="24"/>
        </w:rPr>
      </w:pPr>
      <w:r w:rsidRPr="00EC7F45">
        <w:rPr>
          <w:rFonts w:ascii="Helvetica" w:eastAsia="Times New Roman" w:hAnsi="Helvetica" w:cs="Helvetica"/>
          <w:b/>
          <w:bCs/>
          <w:color w:val="000000"/>
          <w:sz w:val="24"/>
          <w:szCs w:val="24"/>
        </w:rPr>
        <w:t>Entering address information for people in the Address Confidentiality Program (ACP)</w:t>
      </w:r>
    </w:p>
    <w:p w:rsidR="00EC7F45" w:rsidRPr="00EC7F45" w:rsidRDefault="00EC7F45" w:rsidP="00EC7F45">
      <w:pPr>
        <w:shd w:val="clear" w:color="auto" w:fill="FFFFFF"/>
        <w:spacing w:before="480" w:after="0" w:line="240" w:lineRule="auto"/>
        <w:rPr>
          <w:rFonts w:ascii="Helvetica" w:eastAsia="Times New Roman" w:hAnsi="Helvetica" w:cs="Helvetica"/>
          <w:color w:val="222222"/>
          <w:sz w:val="24"/>
          <w:szCs w:val="24"/>
        </w:rPr>
      </w:pPr>
    </w:p>
    <w:p w:rsidR="00EC7F45" w:rsidRPr="00EC7F45" w:rsidRDefault="00EC7F45" w:rsidP="00EC7F45">
      <w:pPr>
        <w:shd w:val="clear" w:color="auto" w:fill="FFFFFF"/>
        <w:spacing w:after="0" w:line="240" w:lineRule="auto"/>
        <w:rPr>
          <w:rFonts w:ascii="Helvetica" w:eastAsia="Times New Roman" w:hAnsi="Helvetica" w:cs="Helvetica"/>
          <w:color w:val="222222"/>
          <w:sz w:val="24"/>
          <w:szCs w:val="24"/>
        </w:rPr>
      </w:pPr>
      <w:r w:rsidRPr="00EC7F45">
        <w:rPr>
          <w:rFonts w:ascii="Helvetica" w:eastAsia="Times New Roman" w:hAnsi="Helvetica" w:cs="Helvetica"/>
          <w:color w:val="000000"/>
          <w:sz w:val="24"/>
          <w:szCs w:val="24"/>
        </w:rPr>
        <w:t>The Colorado Address Confidentiality Program (ACP) is a program designed to provide survivors of domestic violence, sexual offense and stalking/harassment with a substitute address they can legally use in place of their physical addresses. </w:t>
      </w:r>
      <w:r w:rsidRPr="00EC7F45">
        <w:rPr>
          <w:rFonts w:ascii="Helvetica" w:eastAsia="Times New Roman" w:hAnsi="Helvetica" w:cs="Helvetica"/>
          <w:color w:val="222222"/>
          <w:sz w:val="24"/>
          <w:szCs w:val="24"/>
        </w:rPr>
        <w:t>For more information about the Colorado Address Confidentiality Program you can visit the State of Colorado Division of Central Services at </w:t>
      </w:r>
      <w:hyperlink r:id="rId5" w:tgtFrame="_blank" w:history="1">
        <w:r w:rsidRPr="00EC7F45">
          <w:rPr>
            <w:rFonts w:ascii="Helvetica" w:eastAsia="Times New Roman" w:hAnsi="Helvetica" w:cs="Helvetica"/>
            <w:color w:val="1155CC"/>
            <w:sz w:val="24"/>
            <w:szCs w:val="24"/>
            <w:u w:val="single"/>
          </w:rPr>
          <w:t>https://www.colorado.gov/pacific/dcs/acp</w:t>
        </w:r>
      </w:hyperlink>
      <w:r w:rsidRPr="00EC7F45">
        <w:rPr>
          <w:rFonts w:ascii="Helvetica" w:eastAsia="Times New Roman" w:hAnsi="Helvetica" w:cs="Helvetica"/>
          <w:color w:val="222222"/>
          <w:sz w:val="24"/>
          <w:szCs w:val="24"/>
        </w:rPr>
        <w:t>.</w:t>
      </w:r>
    </w:p>
    <w:p w:rsidR="00EC7F45" w:rsidRDefault="00EC7F45" w:rsidP="00EC7F45">
      <w:pPr>
        <w:shd w:val="clear" w:color="auto" w:fill="FFFFFF"/>
        <w:spacing w:after="0" w:line="240" w:lineRule="auto"/>
        <w:rPr>
          <w:rFonts w:ascii="Helvetica" w:eastAsia="Times New Roman" w:hAnsi="Helvetica" w:cs="Helvetica"/>
          <w:color w:val="000000"/>
          <w:sz w:val="24"/>
          <w:szCs w:val="24"/>
        </w:rPr>
      </w:pPr>
      <w:r w:rsidRPr="00EC7F45">
        <w:rPr>
          <w:rFonts w:ascii="Helvetica" w:eastAsia="Times New Roman" w:hAnsi="Helvetica" w:cs="Helvetica"/>
          <w:color w:val="000000"/>
          <w:sz w:val="24"/>
          <w:szCs w:val="24"/>
        </w:rPr>
        <w:t>Each participant in the program receives an ACP authorization card that they can then present to us, and we will use the address on the card as that patron’s legal mailing address. Regardless of the address on the card, we will issue a Resident card with complete borrower privileges to ACP participants. Here are some specific things to note when issuing a card to an ACP</w:t>
      </w:r>
      <w:r>
        <w:rPr>
          <w:rFonts w:ascii="Helvetica" w:eastAsia="Times New Roman" w:hAnsi="Helvetica" w:cs="Helvetica"/>
          <w:color w:val="000000"/>
          <w:sz w:val="24"/>
          <w:szCs w:val="24"/>
        </w:rPr>
        <w:t> borrower:</w:t>
      </w:r>
    </w:p>
    <w:p w:rsidR="00EC7F45" w:rsidRPr="00EC7F45" w:rsidRDefault="00EC7F45" w:rsidP="00EC7F45">
      <w:pPr>
        <w:shd w:val="clear" w:color="auto" w:fill="FFFFFF"/>
        <w:spacing w:after="0" w:line="240" w:lineRule="auto"/>
        <w:rPr>
          <w:rFonts w:ascii="Helvetica" w:eastAsia="Times New Roman" w:hAnsi="Helvetica" w:cs="Helvetica"/>
          <w:color w:val="222222"/>
          <w:sz w:val="24"/>
          <w:szCs w:val="24"/>
        </w:rPr>
      </w:pPr>
    </w:p>
    <w:p w:rsidR="00EC7F45" w:rsidRPr="00EC7F45" w:rsidRDefault="00EC7F45" w:rsidP="00EC7F45">
      <w:pPr>
        <w:numPr>
          <w:ilvl w:val="0"/>
          <w:numId w:val="1"/>
        </w:numPr>
        <w:shd w:val="clear" w:color="auto" w:fill="FFFFFF"/>
        <w:spacing w:after="180" w:line="240" w:lineRule="auto"/>
        <w:ind w:left="945"/>
        <w:rPr>
          <w:rFonts w:ascii="Helvetica" w:eastAsia="Times New Roman" w:hAnsi="Helvetica" w:cs="Helvetica"/>
          <w:color w:val="000000"/>
          <w:sz w:val="24"/>
          <w:szCs w:val="24"/>
        </w:rPr>
      </w:pPr>
      <w:r w:rsidRPr="00EC7F45">
        <w:rPr>
          <w:rFonts w:ascii="Helvetica" w:eastAsia="Times New Roman" w:hAnsi="Helvetica" w:cs="Helvetica"/>
          <w:color w:val="000000"/>
          <w:sz w:val="24"/>
          <w:szCs w:val="24"/>
        </w:rPr>
        <w:t>The patron needs to show ID but doesn’t need to provide proof of residency. Instead, the borrower must show you his or her ACP authorization card as proof of legal mailing address.</w:t>
      </w:r>
    </w:p>
    <w:p w:rsidR="00EC7F45" w:rsidRPr="00EC7F45" w:rsidRDefault="00EC7F45" w:rsidP="00EC7F45">
      <w:pPr>
        <w:numPr>
          <w:ilvl w:val="0"/>
          <w:numId w:val="2"/>
        </w:numPr>
        <w:shd w:val="clear" w:color="auto" w:fill="FFFFFF"/>
        <w:spacing w:after="180" w:line="240" w:lineRule="auto"/>
        <w:ind w:left="945"/>
        <w:rPr>
          <w:rFonts w:ascii="Helvetica" w:eastAsia="Times New Roman" w:hAnsi="Helvetica" w:cs="Helvetica"/>
          <w:color w:val="000000"/>
          <w:sz w:val="24"/>
          <w:szCs w:val="24"/>
        </w:rPr>
      </w:pPr>
      <w:r w:rsidRPr="00EC7F45">
        <w:rPr>
          <w:rFonts w:ascii="Helvetica" w:eastAsia="Times New Roman" w:hAnsi="Helvetica" w:cs="Helvetica"/>
          <w:color w:val="000000"/>
          <w:sz w:val="24"/>
          <w:szCs w:val="24"/>
        </w:rPr>
        <w:t>Check the expiration date on the front of the ACP authorization card to be sure it is still valid.</w:t>
      </w:r>
    </w:p>
    <w:p w:rsidR="00EC7F45" w:rsidRPr="00EC7F45" w:rsidRDefault="00EC7F45" w:rsidP="00EC7F45">
      <w:pPr>
        <w:numPr>
          <w:ilvl w:val="0"/>
          <w:numId w:val="2"/>
        </w:numPr>
        <w:shd w:val="clear" w:color="auto" w:fill="FFFFFF"/>
        <w:spacing w:after="180" w:line="240" w:lineRule="auto"/>
        <w:ind w:left="945"/>
        <w:rPr>
          <w:rFonts w:ascii="Helvetica" w:eastAsia="Times New Roman" w:hAnsi="Helvetica" w:cs="Helvetica"/>
          <w:color w:val="000000"/>
          <w:sz w:val="24"/>
          <w:szCs w:val="24"/>
        </w:rPr>
      </w:pPr>
      <w:r w:rsidRPr="00EC7F45">
        <w:rPr>
          <w:rFonts w:ascii="Helvetica" w:eastAsia="Times New Roman" w:hAnsi="Helvetica" w:cs="Helvetica"/>
          <w:color w:val="000000"/>
          <w:sz w:val="24"/>
          <w:szCs w:val="24"/>
        </w:rPr>
        <w:t>Enter the patron’s information into the record as you would for any other patron, </w:t>
      </w:r>
      <w:r w:rsidRPr="00EC7F45">
        <w:rPr>
          <w:rFonts w:ascii="Helvetica" w:eastAsia="Times New Roman" w:hAnsi="Helvetica" w:cs="Helvetica"/>
          <w:i/>
          <w:iCs/>
          <w:color w:val="000000"/>
          <w:sz w:val="24"/>
          <w:szCs w:val="24"/>
        </w:rPr>
        <w:t>with the following exceptions</w:t>
      </w:r>
      <w:r w:rsidRPr="00EC7F45">
        <w:rPr>
          <w:rFonts w:ascii="Helvetica" w:eastAsia="Times New Roman" w:hAnsi="Helvetica" w:cs="Helvetica"/>
          <w:color w:val="000000"/>
          <w:sz w:val="24"/>
          <w:szCs w:val="24"/>
        </w:rPr>
        <w:t>:</w:t>
      </w:r>
    </w:p>
    <w:p w:rsidR="00EC7F45" w:rsidRPr="00EC7F45" w:rsidRDefault="00EC7F45" w:rsidP="00EC7F45">
      <w:pPr>
        <w:numPr>
          <w:ilvl w:val="1"/>
          <w:numId w:val="3"/>
        </w:numPr>
        <w:shd w:val="clear" w:color="auto" w:fill="FFFFFF"/>
        <w:spacing w:after="180" w:line="240" w:lineRule="auto"/>
        <w:ind w:left="1665"/>
        <w:rPr>
          <w:rFonts w:ascii="Helvetica" w:eastAsia="Times New Roman" w:hAnsi="Helvetica" w:cs="Helvetica"/>
          <w:color w:val="000000"/>
          <w:sz w:val="24"/>
          <w:szCs w:val="24"/>
        </w:rPr>
      </w:pPr>
      <w:r w:rsidRPr="00EC7F45">
        <w:rPr>
          <w:rFonts w:ascii="Helvetica" w:eastAsia="Times New Roman" w:hAnsi="Helvetica" w:cs="Helvetica"/>
          <w:color w:val="000000"/>
          <w:sz w:val="24"/>
          <w:szCs w:val="24"/>
        </w:rPr>
        <w:t>Enter </w:t>
      </w:r>
      <w:r w:rsidRPr="00EC7F45">
        <w:rPr>
          <w:rFonts w:ascii="Helvetica" w:eastAsia="Times New Roman" w:hAnsi="Helvetica" w:cs="Helvetica"/>
          <w:b/>
          <w:bCs/>
          <w:color w:val="000000"/>
          <w:sz w:val="24"/>
          <w:szCs w:val="24"/>
        </w:rPr>
        <w:t>Resident</w:t>
      </w:r>
      <w:r w:rsidRPr="00EC7F45">
        <w:rPr>
          <w:rFonts w:ascii="Helvetica" w:eastAsia="Times New Roman" w:hAnsi="Helvetica" w:cs="Helvetica"/>
          <w:color w:val="000000"/>
          <w:sz w:val="24"/>
          <w:szCs w:val="24"/>
        </w:rPr>
        <w:t> in the </w:t>
      </w:r>
      <w:r w:rsidRPr="00EC7F45">
        <w:rPr>
          <w:rFonts w:ascii="Helvetica" w:eastAsia="Times New Roman" w:hAnsi="Helvetica" w:cs="Helvetica"/>
          <w:b/>
          <w:bCs/>
          <w:color w:val="000000"/>
          <w:sz w:val="24"/>
          <w:szCs w:val="24"/>
        </w:rPr>
        <w:t>Patron Type</w:t>
      </w:r>
      <w:r w:rsidRPr="00EC7F45">
        <w:rPr>
          <w:rFonts w:ascii="Helvetica" w:eastAsia="Times New Roman" w:hAnsi="Helvetica" w:cs="Helvetica"/>
          <w:color w:val="000000"/>
          <w:sz w:val="24"/>
          <w:szCs w:val="24"/>
        </w:rPr>
        <w:t> field, regardless of the mailing address.</w:t>
      </w:r>
    </w:p>
    <w:p w:rsidR="00EC7F45" w:rsidRPr="00EC7F45" w:rsidRDefault="00EC7F45" w:rsidP="00EC7F45">
      <w:pPr>
        <w:numPr>
          <w:ilvl w:val="1"/>
          <w:numId w:val="3"/>
        </w:numPr>
        <w:shd w:val="clear" w:color="auto" w:fill="FFFFFF"/>
        <w:spacing w:after="180" w:line="240" w:lineRule="auto"/>
        <w:ind w:left="1665"/>
        <w:rPr>
          <w:rFonts w:ascii="Helvetica" w:eastAsia="Times New Roman" w:hAnsi="Helvetica" w:cs="Helvetica"/>
          <w:color w:val="222222"/>
          <w:sz w:val="24"/>
          <w:szCs w:val="24"/>
        </w:rPr>
      </w:pPr>
      <w:r w:rsidRPr="00EC7F45">
        <w:rPr>
          <w:rFonts w:ascii="Helvetica" w:eastAsia="Times New Roman" w:hAnsi="Helvetica" w:cs="Helvetica"/>
          <w:color w:val="222222"/>
          <w:sz w:val="24"/>
          <w:szCs w:val="24"/>
        </w:rPr>
        <w:t>In the </w:t>
      </w:r>
      <w:r w:rsidRPr="00EC7F45">
        <w:rPr>
          <w:rFonts w:ascii="Helvetica" w:eastAsia="Times New Roman" w:hAnsi="Helvetica" w:cs="Helvetica"/>
          <w:b/>
          <w:bCs/>
          <w:color w:val="222222"/>
          <w:sz w:val="24"/>
          <w:szCs w:val="24"/>
        </w:rPr>
        <w:t>Expiration Date</w:t>
      </w:r>
      <w:r w:rsidRPr="00EC7F45">
        <w:rPr>
          <w:rFonts w:ascii="Helvetica" w:eastAsia="Times New Roman" w:hAnsi="Helvetica" w:cs="Helvetica"/>
          <w:color w:val="222222"/>
          <w:sz w:val="24"/>
          <w:szCs w:val="24"/>
        </w:rPr>
        <w:t> field, enter the expiration date printed on the patron’s ACP authorization card.</w:t>
      </w:r>
    </w:p>
    <w:p w:rsidR="00EC7F45" w:rsidRPr="00EC7F45" w:rsidRDefault="00EC7F45" w:rsidP="00EC7F45">
      <w:pPr>
        <w:numPr>
          <w:ilvl w:val="1"/>
          <w:numId w:val="3"/>
        </w:numPr>
        <w:shd w:val="clear" w:color="auto" w:fill="FFFFFF"/>
        <w:spacing w:after="180" w:line="240" w:lineRule="auto"/>
        <w:ind w:left="1665"/>
        <w:rPr>
          <w:rFonts w:ascii="Helvetica" w:eastAsia="Times New Roman" w:hAnsi="Helvetica" w:cs="Helvetica"/>
          <w:color w:val="000000"/>
          <w:sz w:val="24"/>
          <w:szCs w:val="24"/>
        </w:rPr>
      </w:pPr>
      <w:r w:rsidRPr="00EC7F45">
        <w:rPr>
          <w:rFonts w:ascii="Helvetica" w:eastAsia="Times New Roman" w:hAnsi="Helvetica" w:cs="Helvetica"/>
          <w:color w:val="000000"/>
          <w:sz w:val="24"/>
          <w:szCs w:val="24"/>
        </w:rPr>
        <w:t>If using an alias, put the alias in the prompted </w:t>
      </w:r>
      <w:r w:rsidRPr="00EC7F45">
        <w:rPr>
          <w:rFonts w:ascii="Helvetica" w:eastAsia="Times New Roman" w:hAnsi="Helvetica" w:cs="Helvetica"/>
          <w:b/>
          <w:bCs/>
          <w:color w:val="000000"/>
          <w:sz w:val="24"/>
          <w:szCs w:val="24"/>
        </w:rPr>
        <w:t>Name</w:t>
      </w:r>
      <w:r w:rsidRPr="00EC7F45">
        <w:rPr>
          <w:rFonts w:ascii="Helvetica" w:eastAsia="Times New Roman" w:hAnsi="Helvetica" w:cs="Helvetica"/>
          <w:color w:val="000000"/>
          <w:sz w:val="24"/>
          <w:szCs w:val="24"/>
        </w:rPr>
        <w:t> field. Then put legal name in an additional name field as follows: "Doe, Jane MI (Legal Name).</w:t>
      </w:r>
    </w:p>
    <w:p w:rsidR="00EC7F45" w:rsidRPr="00EC7F45" w:rsidRDefault="00EC7F45" w:rsidP="00EC7F45">
      <w:pPr>
        <w:numPr>
          <w:ilvl w:val="1"/>
          <w:numId w:val="3"/>
        </w:numPr>
        <w:shd w:val="clear" w:color="auto" w:fill="FFFFFF"/>
        <w:spacing w:after="180" w:line="240" w:lineRule="auto"/>
        <w:ind w:left="1665"/>
        <w:rPr>
          <w:rFonts w:ascii="Helvetica" w:eastAsia="Times New Roman" w:hAnsi="Helvetica" w:cs="Helvetica"/>
          <w:color w:val="000000"/>
          <w:sz w:val="24"/>
          <w:szCs w:val="24"/>
        </w:rPr>
      </w:pPr>
      <w:r w:rsidRPr="00EC7F45">
        <w:rPr>
          <w:rFonts w:ascii="Helvetica" w:eastAsia="Times New Roman" w:hAnsi="Helvetica" w:cs="Helvetica"/>
          <w:color w:val="000000"/>
          <w:sz w:val="24"/>
          <w:szCs w:val="24"/>
        </w:rPr>
        <w:t>When completing the </w:t>
      </w:r>
      <w:r w:rsidRPr="00EC7F45">
        <w:rPr>
          <w:rFonts w:ascii="Helvetica" w:eastAsia="Times New Roman" w:hAnsi="Helvetica" w:cs="Helvetica"/>
          <w:b/>
          <w:bCs/>
          <w:sz w:val="24"/>
          <w:szCs w:val="24"/>
        </w:rPr>
        <w:t>Address</w:t>
      </w:r>
      <w:r w:rsidRPr="00EC7F45">
        <w:rPr>
          <w:rFonts w:ascii="Helvetica" w:eastAsia="Times New Roman" w:hAnsi="Helvetica" w:cs="Helvetica"/>
          <w:color w:val="000000"/>
          <w:sz w:val="24"/>
          <w:szCs w:val="24"/>
        </w:rPr>
        <w:t> fields:</w:t>
      </w:r>
    </w:p>
    <w:p w:rsidR="00EC7F45" w:rsidRPr="00EC7F45" w:rsidRDefault="00EC7F45" w:rsidP="00EC7F45">
      <w:pPr>
        <w:shd w:val="clear" w:color="auto" w:fill="FFFFFF"/>
        <w:spacing w:after="180" w:line="240" w:lineRule="auto"/>
        <w:ind w:left="2160"/>
        <w:rPr>
          <w:rFonts w:ascii="Helvetica" w:eastAsia="Times New Roman" w:hAnsi="Helvetica" w:cs="Helvetica"/>
          <w:color w:val="222222"/>
          <w:sz w:val="24"/>
          <w:szCs w:val="24"/>
        </w:rPr>
      </w:pPr>
      <w:r w:rsidRPr="00EC7F45">
        <w:rPr>
          <w:rFonts w:ascii="Times New Roman" w:eastAsia="Times New Roman" w:hAnsi="Times New Roman" w:cs="Times New Roman"/>
          <w:color w:val="000000"/>
          <w:sz w:val="14"/>
          <w:szCs w:val="14"/>
        </w:rPr>
        <w:t>                                                               </w:t>
      </w:r>
      <w:r w:rsidRPr="00EC7F45">
        <w:rPr>
          <w:rFonts w:ascii="Helvetica" w:eastAsia="Times New Roman" w:hAnsi="Helvetica" w:cs="Helvetica"/>
          <w:color w:val="000000"/>
          <w:sz w:val="24"/>
          <w:szCs w:val="24"/>
        </w:rPr>
        <w:t>i.</w:t>
      </w:r>
      <w:r w:rsidRPr="00EC7F45">
        <w:rPr>
          <w:rFonts w:ascii="Times New Roman" w:eastAsia="Times New Roman" w:hAnsi="Times New Roman" w:cs="Times New Roman"/>
          <w:color w:val="000000"/>
          <w:sz w:val="14"/>
          <w:szCs w:val="14"/>
        </w:rPr>
        <w:t>      </w:t>
      </w:r>
      <w:r w:rsidRPr="00EC7F45">
        <w:rPr>
          <w:rFonts w:ascii="Helvetica" w:eastAsia="Times New Roman" w:hAnsi="Helvetica" w:cs="Helvetica"/>
          <w:color w:val="000000"/>
          <w:sz w:val="24"/>
          <w:szCs w:val="24"/>
        </w:rPr>
        <w:t>On the first line, enter “Address Confidentiality Program.”</w:t>
      </w:r>
    </w:p>
    <w:p w:rsidR="00EC7F45" w:rsidRPr="00EC7F45" w:rsidRDefault="00EC7F45" w:rsidP="00EC7F45">
      <w:pPr>
        <w:shd w:val="clear" w:color="auto" w:fill="FFFFFF"/>
        <w:spacing w:after="180" w:line="240" w:lineRule="auto"/>
        <w:ind w:left="2160"/>
        <w:rPr>
          <w:rFonts w:ascii="Helvetica" w:eastAsia="Times New Roman" w:hAnsi="Helvetica" w:cs="Helvetica"/>
          <w:color w:val="222222"/>
          <w:sz w:val="24"/>
          <w:szCs w:val="24"/>
        </w:rPr>
      </w:pPr>
      <w:r w:rsidRPr="00EC7F45">
        <w:rPr>
          <w:rFonts w:ascii="Times New Roman" w:eastAsia="Times New Roman" w:hAnsi="Times New Roman" w:cs="Times New Roman"/>
          <w:color w:val="000000"/>
          <w:sz w:val="14"/>
          <w:szCs w:val="14"/>
        </w:rPr>
        <w:t>                                                             </w:t>
      </w:r>
      <w:r w:rsidRPr="00EC7F45">
        <w:rPr>
          <w:rFonts w:ascii="Helvetica" w:eastAsia="Times New Roman" w:hAnsi="Helvetica" w:cs="Helvetica"/>
          <w:color w:val="000000"/>
          <w:sz w:val="24"/>
          <w:szCs w:val="24"/>
        </w:rPr>
        <w:t>ii.</w:t>
      </w:r>
      <w:r w:rsidRPr="00EC7F45">
        <w:rPr>
          <w:rFonts w:ascii="Times New Roman" w:eastAsia="Times New Roman" w:hAnsi="Times New Roman" w:cs="Times New Roman"/>
          <w:color w:val="000000"/>
          <w:sz w:val="14"/>
          <w:szCs w:val="14"/>
        </w:rPr>
        <w:t>      </w:t>
      </w:r>
      <w:r w:rsidRPr="00EC7F45">
        <w:rPr>
          <w:rFonts w:ascii="Helvetica" w:eastAsia="Times New Roman" w:hAnsi="Helvetica" w:cs="Helvetica"/>
          <w:color w:val="000000"/>
          <w:sz w:val="24"/>
          <w:szCs w:val="24"/>
        </w:rPr>
        <w:t>On the second line enter the street address provided on the authorization card. Make sure to enter the apartment number.</w:t>
      </w:r>
    </w:p>
    <w:p w:rsidR="00EC7F45" w:rsidRPr="00EC7F45" w:rsidRDefault="00EC7F45" w:rsidP="00EC7F45">
      <w:pPr>
        <w:shd w:val="clear" w:color="auto" w:fill="FFFFFF"/>
        <w:spacing w:after="180" w:line="240" w:lineRule="auto"/>
        <w:ind w:left="2160"/>
        <w:rPr>
          <w:rFonts w:ascii="Helvetica" w:eastAsia="Times New Roman" w:hAnsi="Helvetica" w:cs="Helvetica"/>
          <w:color w:val="222222"/>
          <w:sz w:val="24"/>
          <w:szCs w:val="24"/>
        </w:rPr>
      </w:pPr>
      <w:r w:rsidRPr="00EC7F45">
        <w:rPr>
          <w:rFonts w:ascii="Times New Roman" w:eastAsia="Times New Roman" w:hAnsi="Times New Roman" w:cs="Times New Roman"/>
          <w:color w:val="000000"/>
          <w:sz w:val="14"/>
          <w:szCs w:val="14"/>
        </w:rPr>
        <w:t>                                                           </w:t>
      </w:r>
      <w:r w:rsidRPr="00EC7F45">
        <w:rPr>
          <w:rFonts w:ascii="Helvetica" w:eastAsia="Times New Roman" w:hAnsi="Helvetica" w:cs="Helvetica"/>
          <w:color w:val="000000"/>
          <w:sz w:val="24"/>
          <w:szCs w:val="24"/>
        </w:rPr>
        <w:t>iii.</w:t>
      </w:r>
      <w:r w:rsidRPr="00EC7F45">
        <w:rPr>
          <w:rFonts w:ascii="Times New Roman" w:eastAsia="Times New Roman" w:hAnsi="Times New Roman" w:cs="Times New Roman"/>
          <w:color w:val="000000"/>
          <w:sz w:val="14"/>
          <w:szCs w:val="14"/>
        </w:rPr>
        <w:t>      </w:t>
      </w:r>
      <w:r>
        <w:rPr>
          <w:rFonts w:ascii="Helvetica" w:eastAsia="Times New Roman" w:hAnsi="Helvetica" w:cs="Helvetica"/>
          <w:color w:val="000000"/>
          <w:sz w:val="24"/>
          <w:szCs w:val="24"/>
        </w:rPr>
        <w:t xml:space="preserve"> E</w:t>
      </w:r>
      <w:r w:rsidRPr="00EC7F45">
        <w:rPr>
          <w:rFonts w:ascii="Helvetica" w:eastAsia="Times New Roman" w:hAnsi="Helvetica" w:cs="Helvetica"/>
          <w:color w:val="000000"/>
          <w:sz w:val="24"/>
          <w:szCs w:val="24"/>
        </w:rPr>
        <w:t xml:space="preserve">nter the city, state and ZIP code </w:t>
      </w:r>
      <w:bookmarkStart w:id="0" w:name="_GoBack"/>
      <w:bookmarkEnd w:id="0"/>
    </w:p>
    <w:p w:rsidR="00EC7F45" w:rsidRPr="00EC7F45" w:rsidRDefault="00EC7F45" w:rsidP="00EC7F45">
      <w:pPr>
        <w:shd w:val="clear" w:color="auto" w:fill="FFFFFF"/>
        <w:spacing w:after="0" w:line="240" w:lineRule="auto"/>
        <w:ind w:left="1440"/>
        <w:rPr>
          <w:rFonts w:ascii="Helvetica" w:eastAsia="Times New Roman" w:hAnsi="Helvetica" w:cs="Helvetica"/>
          <w:color w:val="222222"/>
          <w:sz w:val="24"/>
          <w:szCs w:val="24"/>
        </w:rPr>
      </w:pPr>
      <w:r w:rsidRPr="00EC7F45">
        <w:rPr>
          <w:rFonts w:ascii="Helvetica" w:eastAsia="Times New Roman" w:hAnsi="Helvetica" w:cs="Helvetica"/>
          <w:noProof/>
          <w:color w:val="222222"/>
          <w:sz w:val="24"/>
          <w:szCs w:val="24"/>
        </w:rPr>
        <w:lastRenderedPageBreak/>
        <mc:AlternateContent>
          <mc:Choice Requires="wps">
            <w:drawing>
              <wp:inline distT="0" distB="0" distL="0" distR="0">
                <wp:extent cx="5038725" cy="476250"/>
                <wp:effectExtent l="0" t="0" r="0" b="0"/>
                <wp:docPr id="1" name="Rectangle 1" descr="acp addr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387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59593" id="Rectangle 1" o:spid="_x0000_s1026" alt="acp address" style="width:396.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" filled="f" stroked="f">
                <o:lock v:ext="edit" aspectratio="t"/>
                <w10:anchorlock/>
              </v:rect>
            </w:pict>
          </mc:Fallback>
        </mc:AlternateContent>
      </w:r>
    </w:p>
    <w:p w:rsidR="00EC7F45" w:rsidRPr="00EC7F45" w:rsidRDefault="00EC7F45" w:rsidP="00EC7F45">
      <w:pPr>
        <w:pStyle w:val="ListParagraph"/>
        <w:numPr>
          <w:ilvl w:val="0"/>
          <w:numId w:val="3"/>
        </w:numPr>
        <w:shd w:val="clear" w:color="auto" w:fill="FFFFFF"/>
        <w:spacing w:after="180" w:line="240" w:lineRule="auto"/>
        <w:rPr>
          <w:rFonts w:ascii="Helvetica" w:eastAsia="Times New Roman" w:hAnsi="Helvetica" w:cs="Helvetica"/>
          <w:color w:val="000000"/>
          <w:sz w:val="24"/>
          <w:szCs w:val="24"/>
        </w:rPr>
      </w:pPr>
      <w:r w:rsidRPr="00EC7F45">
        <w:rPr>
          <w:rFonts w:ascii="Helvetica" w:eastAsia="Times New Roman" w:hAnsi="Helvetica" w:cs="Helvetica"/>
          <w:color w:val="000000"/>
          <w:sz w:val="24"/>
          <w:szCs w:val="24"/>
        </w:rPr>
        <w:t>You can ask for a phone number and email address and the patron can provide it if he or she chooses. (Keep in mind that ACP says the substitute address on the card is our most reliable way to contact a program participant.)</w:t>
      </w:r>
    </w:p>
    <w:p w:rsidR="00EC7F45" w:rsidRDefault="00EC7F45" w:rsidP="00EC7F45">
      <w:pPr>
        <w:shd w:val="clear" w:color="auto" w:fill="FFFFFF"/>
        <w:spacing w:after="0" w:line="240" w:lineRule="auto"/>
        <w:ind w:left="1440"/>
        <w:rPr>
          <w:rFonts w:ascii="Helvetica" w:eastAsia="Times New Roman" w:hAnsi="Helvetica" w:cs="Helvetica"/>
          <w:color w:val="000000"/>
          <w:sz w:val="24"/>
          <w:szCs w:val="24"/>
        </w:rPr>
      </w:pPr>
      <w:r w:rsidRPr="00EC7F45">
        <w:rPr>
          <w:rFonts w:ascii="Helvetica" w:eastAsia="Times New Roman" w:hAnsi="Helvetica" w:cs="Helvetica"/>
          <w:color w:val="000000"/>
          <w:sz w:val="24"/>
          <w:szCs w:val="24"/>
        </w:rPr>
        <w:t>If the patron prefers not to share their phone </w:t>
      </w:r>
      <w:r w:rsidRPr="00EC7F45">
        <w:rPr>
          <w:rFonts w:ascii="Helvetica" w:eastAsia="Times New Roman" w:hAnsi="Helvetica" w:cs="Helvetica"/>
          <w:i/>
          <w:iCs/>
          <w:color w:val="000000"/>
          <w:sz w:val="24"/>
          <w:szCs w:val="24"/>
        </w:rPr>
        <w:t>and</w:t>
      </w:r>
      <w:r w:rsidRPr="00EC7F45">
        <w:rPr>
          <w:rFonts w:ascii="Helvetica" w:eastAsia="Times New Roman" w:hAnsi="Helvetica" w:cs="Helvetica"/>
          <w:color w:val="000000"/>
          <w:sz w:val="24"/>
          <w:szCs w:val="24"/>
        </w:rPr>
        <w:t> email information, explain to them that they will not receive hold or overdue notices from us, as we do not send notices via U.S. Mail.</w:t>
      </w:r>
    </w:p>
    <w:p w:rsidR="00EC7F45" w:rsidRPr="00EC7F45" w:rsidRDefault="00EC7F45" w:rsidP="00EC7F45">
      <w:pPr>
        <w:shd w:val="clear" w:color="auto" w:fill="FFFFFF"/>
        <w:spacing w:after="0" w:line="240" w:lineRule="auto"/>
        <w:ind w:left="1440"/>
        <w:rPr>
          <w:rFonts w:ascii="Helvetica" w:eastAsia="Times New Roman" w:hAnsi="Helvetica" w:cs="Helvetica"/>
          <w:color w:val="222222"/>
          <w:sz w:val="24"/>
          <w:szCs w:val="24"/>
        </w:rPr>
      </w:pPr>
    </w:p>
    <w:p w:rsidR="00EC7F45" w:rsidRPr="00EC7F45" w:rsidRDefault="00EC7F45" w:rsidP="00EC7F45">
      <w:pPr>
        <w:shd w:val="clear" w:color="auto" w:fill="FFFFFF"/>
        <w:spacing w:after="0" w:line="240" w:lineRule="auto"/>
        <w:rPr>
          <w:rFonts w:ascii="Helvetica" w:eastAsia="Times New Roman" w:hAnsi="Helvetica" w:cs="Helvetica"/>
          <w:color w:val="222222"/>
          <w:sz w:val="24"/>
          <w:szCs w:val="24"/>
        </w:rPr>
      </w:pPr>
      <w:r w:rsidRPr="00EC7F45">
        <w:rPr>
          <w:rFonts w:ascii="Helvetica" w:eastAsia="Times New Roman" w:hAnsi="Helvetica" w:cs="Helvetica"/>
          <w:b/>
          <w:bCs/>
          <w:i/>
          <w:iCs/>
          <w:color w:val="222222"/>
          <w:sz w:val="24"/>
          <w:szCs w:val="24"/>
        </w:rPr>
        <w:t>Note: </w:t>
      </w:r>
      <w:r w:rsidRPr="00EC7F45">
        <w:rPr>
          <w:rFonts w:ascii="Helvetica" w:eastAsia="Times New Roman" w:hAnsi="Helvetica" w:cs="Helvetica"/>
          <w:color w:val="222222"/>
          <w:sz w:val="24"/>
          <w:szCs w:val="24"/>
        </w:rPr>
        <w:t>The </w:t>
      </w:r>
      <w:r w:rsidRPr="00EC7F45">
        <w:rPr>
          <w:rFonts w:ascii="Helvetica" w:eastAsia="Times New Roman" w:hAnsi="Helvetica" w:cs="Helvetica"/>
          <w:b/>
          <w:bCs/>
          <w:color w:val="222222"/>
          <w:sz w:val="24"/>
          <w:szCs w:val="24"/>
        </w:rPr>
        <w:t>Address </w:t>
      </w:r>
      <w:r w:rsidRPr="00EC7F45">
        <w:rPr>
          <w:rFonts w:ascii="Helvetica" w:eastAsia="Times New Roman" w:hAnsi="Helvetica" w:cs="Helvetica"/>
          <w:color w:val="222222"/>
          <w:sz w:val="24"/>
          <w:szCs w:val="24"/>
        </w:rPr>
        <w:t>field is the </w:t>
      </w:r>
      <w:r w:rsidRPr="00EC7F45">
        <w:rPr>
          <w:rFonts w:ascii="Helvetica" w:eastAsia="Times New Roman" w:hAnsi="Helvetica" w:cs="Helvetica"/>
          <w:i/>
          <w:iCs/>
          <w:color w:val="222222"/>
          <w:sz w:val="24"/>
          <w:szCs w:val="24"/>
        </w:rPr>
        <w:t>only</w:t>
      </w:r>
      <w:r w:rsidRPr="00EC7F45">
        <w:rPr>
          <w:rFonts w:ascii="Helvetica" w:eastAsia="Times New Roman" w:hAnsi="Helvetica" w:cs="Helvetica"/>
          <w:color w:val="222222"/>
          <w:sz w:val="24"/>
          <w:szCs w:val="24"/>
        </w:rPr>
        <w:t> place in the record where you should indicate that the borrower is an Address Confidentiality Program participant. Do not create a note or message to that effect.</w:t>
      </w:r>
    </w:p>
    <w:p w:rsidR="00A35EEE" w:rsidRDefault="004773B1"/>
    <w:sectPr w:rsidR="00A35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E0F32"/>
    <w:multiLevelType w:val="multilevel"/>
    <w:tmpl w:val="3C167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1021A"/>
    <w:multiLevelType w:val="multilevel"/>
    <w:tmpl w:val="905E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D220B1"/>
    <w:multiLevelType w:val="multilevel"/>
    <w:tmpl w:val="A81A640E"/>
    <w:lvl w:ilvl="0">
      <w:start w:val="3"/>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20249D"/>
    <w:multiLevelType w:val="multilevel"/>
    <w:tmpl w:val="B346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863818"/>
    <w:multiLevelType w:val="multilevel"/>
    <w:tmpl w:val="4B2EA8F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45"/>
    <w:rsid w:val="004773B1"/>
    <w:rsid w:val="005E7F3E"/>
    <w:rsid w:val="00746D31"/>
    <w:rsid w:val="00BC1369"/>
    <w:rsid w:val="00EC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FF6BB-23C1-4227-8520-293E08CB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EC7F45"/>
  </w:style>
  <w:style w:type="character" w:styleId="Hyperlink">
    <w:name w:val="Hyperlink"/>
    <w:basedOn w:val="DefaultParagraphFont"/>
    <w:uiPriority w:val="99"/>
    <w:semiHidden/>
    <w:unhideWhenUsed/>
    <w:rsid w:val="00EC7F45"/>
    <w:rPr>
      <w:color w:val="0000FF"/>
      <w:u w:val="single"/>
    </w:rPr>
  </w:style>
  <w:style w:type="paragraph" w:styleId="ListParagraph">
    <w:name w:val="List Paragraph"/>
    <w:basedOn w:val="Normal"/>
    <w:uiPriority w:val="34"/>
    <w:qFormat/>
    <w:rsid w:val="00EC7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1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lorado.gov/pacific/dcs/ac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16652493</Template>
  <TotalTime>22</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Kleven</dc:creator>
  <cp:keywords/>
  <dc:description/>
  <cp:lastModifiedBy>Jill Kleven</cp:lastModifiedBy>
  <cp:revision>2</cp:revision>
  <dcterms:created xsi:type="dcterms:W3CDTF">2020-01-24T21:45:00Z</dcterms:created>
  <dcterms:modified xsi:type="dcterms:W3CDTF">2020-01-24T22:07:00Z</dcterms:modified>
</cp:coreProperties>
</file>